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749D7" w14:textId="77777777" w:rsidR="009017B5" w:rsidRPr="00A25039" w:rsidRDefault="009017B5" w:rsidP="0016202C">
      <w:pPr>
        <w:spacing w:after="0" w:line="480" w:lineRule="auto"/>
        <w:jc w:val="both"/>
        <w:rPr>
          <w:rFonts w:ascii="Times New Roman" w:hAnsi="Times New Roman"/>
          <w:sz w:val="24"/>
          <w:szCs w:val="24"/>
          <w:shd w:val="clear" w:color="auto" w:fill="FFFFFF"/>
        </w:rPr>
      </w:pPr>
    </w:p>
    <w:p w14:paraId="02988916" w14:textId="77777777" w:rsidR="009017B5" w:rsidRPr="00A25039" w:rsidRDefault="009017B5" w:rsidP="0016202C">
      <w:pPr>
        <w:spacing w:after="0" w:line="480" w:lineRule="auto"/>
        <w:jc w:val="both"/>
        <w:rPr>
          <w:rFonts w:ascii="Times New Roman" w:hAnsi="Times New Roman"/>
          <w:sz w:val="24"/>
          <w:szCs w:val="24"/>
          <w:shd w:val="clear" w:color="auto" w:fill="FFFFFF"/>
        </w:rPr>
      </w:pPr>
    </w:p>
    <w:p w14:paraId="30CFCB83" w14:textId="5DD2AD28" w:rsidR="009017B5" w:rsidRDefault="009017B5" w:rsidP="0016202C">
      <w:pPr>
        <w:spacing w:after="0" w:line="480" w:lineRule="auto"/>
        <w:jc w:val="both"/>
        <w:rPr>
          <w:rFonts w:ascii="Times New Roman" w:hAnsi="Times New Roman"/>
          <w:sz w:val="24"/>
          <w:szCs w:val="24"/>
          <w:shd w:val="clear" w:color="auto" w:fill="FFFFFF"/>
        </w:rPr>
      </w:pPr>
    </w:p>
    <w:p w14:paraId="7649B56A" w14:textId="04C19434" w:rsidR="000F352C" w:rsidRDefault="000F352C" w:rsidP="0016202C">
      <w:pPr>
        <w:spacing w:after="0" w:line="480" w:lineRule="auto"/>
        <w:jc w:val="both"/>
        <w:rPr>
          <w:rFonts w:ascii="Times New Roman" w:hAnsi="Times New Roman"/>
          <w:sz w:val="24"/>
          <w:szCs w:val="24"/>
          <w:shd w:val="clear" w:color="auto" w:fill="FFFFFF"/>
        </w:rPr>
      </w:pPr>
    </w:p>
    <w:p w14:paraId="115F4990" w14:textId="77777777" w:rsidR="000F352C" w:rsidRPr="00A25039" w:rsidRDefault="000F352C" w:rsidP="0016202C">
      <w:pPr>
        <w:spacing w:after="0" w:line="480" w:lineRule="auto"/>
        <w:jc w:val="both"/>
        <w:rPr>
          <w:rFonts w:ascii="Times New Roman" w:hAnsi="Times New Roman"/>
          <w:sz w:val="24"/>
          <w:szCs w:val="24"/>
          <w:shd w:val="clear" w:color="auto" w:fill="FFFFFF"/>
        </w:rPr>
      </w:pPr>
    </w:p>
    <w:p w14:paraId="2EBF351D" w14:textId="77777777" w:rsidR="009017B5" w:rsidRPr="00A25039" w:rsidRDefault="009017B5" w:rsidP="0016202C">
      <w:pPr>
        <w:spacing w:after="0" w:line="480" w:lineRule="auto"/>
        <w:jc w:val="both"/>
        <w:rPr>
          <w:rFonts w:ascii="Times New Roman" w:hAnsi="Times New Roman"/>
          <w:sz w:val="24"/>
          <w:szCs w:val="24"/>
          <w:shd w:val="clear" w:color="auto" w:fill="FFFFFF"/>
        </w:rPr>
      </w:pPr>
    </w:p>
    <w:p w14:paraId="78655FD1" w14:textId="77777777" w:rsidR="009017B5" w:rsidRPr="00A25039" w:rsidRDefault="009017B5" w:rsidP="0016202C">
      <w:pPr>
        <w:spacing w:after="0" w:line="480" w:lineRule="auto"/>
        <w:jc w:val="both"/>
        <w:rPr>
          <w:rFonts w:ascii="Times New Roman" w:hAnsi="Times New Roman"/>
          <w:sz w:val="24"/>
          <w:szCs w:val="24"/>
          <w:shd w:val="clear" w:color="auto" w:fill="FFFFFF"/>
        </w:rPr>
      </w:pPr>
    </w:p>
    <w:p w14:paraId="6419BD4D" w14:textId="77777777" w:rsidR="009017B5" w:rsidRPr="00A25039" w:rsidRDefault="009017B5" w:rsidP="0016202C">
      <w:pPr>
        <w:spacing w:after="0" w:line="480" w:lineRule="auto"/>
        <w:jc w:val="both"/>
        <w:rPr>
          <w:rFonts w:ascii="Times New Roman" w:hAnsi="Times New Roman"/>
          <w:sz w:val="24"/>
          <w:szCs w:val="24"/>
          <w:shd w:val="clear" w:color="auto" w:fill="FFFFFF"/>
        </w:rPr>
      </w:pPr>
    </w:p>
    <w:p w14:paraId="4A800DDC" w14:textId="77777777" w:rsidR="009017B5" w:rsidRPr="00A25039" w:rsidRDefault="009017B5" w:rsidP="0016202C">
      <w:pPr>
        <w:spacing w:after="0" w:line="480" w:lineRule="auto"/>
        <w:jc w:val="both"/>
        <w:rPr>
          <w:rFonts w:ascii="Times New Roman" w:hAnsi="Times New Roman"/>
          <w:sz w:val="24"/>
          <w:szCs w:val="24"/>
          <w:shd w:val="clear" w:color="auto" w:fill="FFFFFF"/>
        </w:rPr>
      </w:pPr>
    </w:p>
    <w:p w14:paraId="2DA0976D" w14:textId="77777777" w:rsidR="0016202C" w:rsidRPr="00A25039" w:rsidRDefault="0016202C" w:rsidP="0016202C">
      <w:pPr>
        <w:pStyle w:val="NormalWeb"/>
        <w:spacing w:before="0" w:beforeAutospacing="0" w:after="0" w:afterAutospacing="0" w:line="480" w:lineRule="auto"/>
        <w:jc w:val="center"/>
        <w:rPr>
          <w:b/>
          <w:color w:val="0E101A"/>
        </w:rPr>
      </w:pPr>
      <w:r w:rsidRPr="00A25039">
        <w:rPr>
          <w:rStyle w:val="Strong"/>
          <w:b w:val="0"/>
          <w:color w:val="0E101A"/>
        </w:rPr>
        <w:t>Health Insurance and the Affordable Care</w:t>
      </w:r>
    </w:p>
    <w:p w14:paraId="04DDF6A9" w14:textId="77777777" w:rsidR="0097726B" w:rsidRPr="00A25039" w:rsidRDefault="0097726B" w:rsidP="0016202C">
      <w:pPr>
        <w:spacing w:after="0" w:line="480" w:lineRule="auto"/>
        <w:jc w:val="center"/>
        <w:rPr>
          <w:rFonts w:ascii="Times New Roman" w:hAnsi="Times New Roman"/>
          <w:sz w:val="24"/>
          <w:szCs w:val="24"/>
          <w:shd w:val="clear" w:color="auto" w:fill="FFFFFF"/>
        </w:rPr>
      </w:pPr>
      <w:r w:rsidRPr="00A25039">
        <w:rPr>
          <w:rFonts w:ascii="Times New Roman" w:hAnsi="Times New Roman"/>
          <w:sz w:val="24"/>
          <w:szCs w:val="24"/>
          <w:lang w:val="en-GB"/>
        </w:rPr>
        <w:t>Name</w:t>
      </w:r>
    </w:p>
    <w:p w14:paraId="524C5E80" w14:textId="77777777" w:rsidR="00C40D74" w:rsidRPr="00A25039" w:rsidRDefault="005135C6" w:rsidP="0016202C">
      <w:pPr>
        <w:spacing w:after="0" w:line="480" w:lineRule="auto"/>
        <w:jc w:val="center"/>
        <w:rPr>
          <w:rFonts w:ascii="Times New Roman" w:hAnsi="Times New Roman"/>
          <w:sz w:val="24"/>
          <w:szCs w:val="24"/>
          <w:shd w:val="clear" w:color="auto" w:fill="FFFFFF"/>
        </w:rPr>
      </w:pPr>
      <w:r w:rsidRPr="00A25039">
        <w:rPr>
          <w:rFonts w:ascii="Times New Roman" w:hAnsi="Times New Roman"/>
          <w:sz w:val="24"/>
          <w:szCs w:val="24"/>
          <w:lang w:val="en-GB"/>
        </w:rPr>
        <w:t>Institutional Affiliation</w:t>
      </w:r>
    </w:p>
    <w:p w14:paraId="56D23BAD"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5A483A42"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1FEFCAB9"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4D40DF64"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4CC6E468"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053544E6"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67A0DA3C"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20E10FDB" w14:textId="77777777" w:rsidR="00D742A4" w:rsidRPr="00A25039" w:rsidRDefault="00A5478F" w:rsidP="0016202C">
      <w:pPr>
        <w:tabs>
          <w:tab w:val="left" w:pos="5064"/>
        </w:tabs>
        <w:spacing w:after="0" w:line="480" w:lineRule="auto"/>
        <w:rPr>
          <w:rFonts w:ascii="Times New Roman" w:hAnsi="Times New Roman"/>
          <w:color w:val="222222"/>
          <w:sz w:val="24"/>
          <w:szCs w:val="24"/>
          <w:shd w:val="clear" w:color="auto" w:fill="FFFFFF"/>
        </w:rPr>
      </w:pPr>
      <w:r w:rsidRPr="00A25039">
        <w:rPr>
          <w:rFonts w:ascii="Times New Roman" w:hAnsi="Times New Roman"/>
          <w:color w:val="222222"/>
          <w:sz w:val="24"/>
          <w:szCs w:val="24"/>
          <w:shd w:val="clear" w:color="auto" w:fill="FFFFFF"/>
        </w:rPr>
        <w:tab/>
      </w:r>
    </w:p>
    <w:p w14:paraId="752A1926" w14:textId="77777777" w:rsidR="00D742A4" w:rsidRPr="00A25039" w:rsidRDefault="005F2F90" w:rsidP="0016202C">
      <w:pPr>
        <w:tabs>
          <w:tab w:val="left" w:pos="2722"/>
        </w:tabs>
        <w:spacing w:after="0" w:line="480" w:lineRule="auto"/>
        <w:rPr>
          <w:rFonts w:ascii="Times New Roman" w:hAnsi="Times New Roman"/>
          <w:color w:val="222222"/>
          <w:sz w:val="24"/>
          <w:szCs w:val="24"/>
          <w:shd w:val="clear" w:color="auto" w:fill="FFFFFF"/>
        </w:rPr>
      </w:pPr>
      <w:r w:rsidRPr="00A25039">
        <w:rPr>
          <w:rFonts w:ascii="Times New Roman" w:hAnsi="Times New Roman"/>
          <w:color w:val="222222"/>
          <w:sz w:val="24"/>
          <w:szCs w:val="24"/>
          <w:shd w:val="clear" w:color="auto" w:fill="FFFFFF"/>
        </w:rPr>
        <w:tab/>
      </w:r>
    </w:p>
    <w:p w14:paraId="6B13C9C7"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7130C49C"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76F39578"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79BA2615"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7553FFD1" w14:textId="77777777" w:rsidR="00D742A4" w:rsidRPr="00A25039" w:rsidRDefault="00D742A4" w:rsidP="0016202C">
      <w:pPr>
        <w:spacing w:after="0" w:line="480" w:lineRule="auto"/>
        <w:jc w:val="center"/>
        <w:rPr>
          <w:rFonts w:ascii="Times New Roman" w:hAnsi="Times New Roman"/>
          <w:color w:val="222222"/>
          <w:sz w:val="24"/>
          <w:szCs w:val="24"/>
          <w:shd w:val="clear" w:color="auto" w:fill="FFFFFF"/>
        </w:rPr>
      </w:pPr>
    </w:p>
    <w:p w14:paraId="29D9D0F7" w14:textId="46FB2C62" w:rsidR="0016202C" w:rsidRPr="00A25039" w:rsidRDefault="000F352C" w:rsidP="0016202C">
      <w:pPr>
        <w:pStyle w:val="NormalWeb"/>
        <w:spacing w:before="0" w:beforeAutospacing="0" w:after="0" w:afterAutospacing="0" w:line="480" w:lineRule="auto"/>
        <w:jc w:val="center"/>
        <w:rPr>
          <w:b/>
          <w:color w:val="0E101A"/>
        </w:rPr>
      </w:pPr>
      <w:r>
        <w:rPr>
          <w:rStyle w:val="Strong"/>
          <w:b w:val="0"/>
          <w:color w:val="0E101A"/>
        </w:rPr>
        <w:lastRenderedPageBreak/>
        <w:t xml:space="preserve"> </w:t>
      </w:r>
      <w:r w:rsidR="0016202C" w:rsidRPr="00A25039">
        <w:rPr>
          <w:rStyle w:val="Strong"/>
          <w:b w:val="0"/>
          <w:color w:val="0E101A"/>
        </w:rPr>
        <w:t>Health Insurance and the Affordable Care</w:t>
      </w:r>
    </w:p>
    <w:p w14:paraId="243267E1" w14:textId="4C7B3CD7" w:rsidR="0016202C" w:rsidRPr="00A25039" w:rsidRDefault="0016202C" w:rsidP="000F352C">
      <w:pPr>
        <w:pStyle w:val="NormalWeb"/>
        <w:spacing w:before="0" w:beforeAutospacing="0" w:after="0" w:afterAutospacing="0" w:line="480" w:lineRule="auto"/>
        <w:ind w:firstLine="720"/>
        <w:jc w:val="both"/>
        <w:rPr>
          <w:color w:val="0E101A"/>
        </w:rPr>
      </w:pPr>
      <w:r w:rsidRPr="00A25039">
        <w:rPr>
          <w:color w:val="0E101A"/>
        </w:rPr>
        <w:t>Under the Affordable Care Act, medical plans offer essential coverage for medical reasons, which includes pre-existing conditions. Additionally, specific services and treatments are offered in healthcare plans. The types of health care insurance plan for my organization would be a Group Health Insurance plan that covers group members, generally comprised of employees or organization members. The health insurance is provided at a low cost due to risks of it spreading across policyholders. Many groups, health insurance plans, are employer-sponsored benefit plans</w:t>
      </w:r>
      <w:r w:rsidR="00A25039" w:rsidRPr="00A25039">
        <w:rPr>
          <w:color w:val="222222"/>
          <w:shd w:val="clear" w:color="auto" w:fill="FFFFFF"/>
        </w:rPr>
        <w:t xml:space="preserve"> (</w:t>
      </w:r>
      <w:proofErr w:type="spellStart"/>
      <w:r w:rsidR="00A25039" w:rsidRPr="00A25039">
        <w:rPr>
          <w:color w:val="222222"/>
          <w:shd w:val="clear" w:color="auto" w:fill="FFFFFF"/>
        </w:rPr>
        <w:t>Tolos</w:t>
      </w:r>
      <w:proofErr w:type="spellEnd"/>
      <w:r w:rsidR="00A25039" w:rsidRPr="00A25039">
        <w:rPr>
          <w:color w:val="222222"/>
          <w:shd w:val="clear" w:color="auto" w:fill="FFFFFF"/>
        </w:rPr>
        <w:t xml:space="preserve"> et al., 2016)</w:t>
      </w:r>
      <w:r w:rsidRPr="00A25039">
        <w:rPr>
          <w:color w:val="0E101A"/>
        </w:rPr>
        <w:t>. Even so, there is the possibility of purchasing group coverage through organizations or an association. There is the possibility, however, of purchasing group coverage through an organization. </w:t>
      </w:r>
    </w:p>
    <w:p w14:paraId="3CC7D58A" w14:textId="77777777" w:rsidR="0016202C" w:rsidRPr="00A25039" w:rsidRDefault="0016202C" w:rsidP="000F352C">
      <w:pPr>
        <w:pStyle w:val="NormalWeb"/>
        <w:spacing w:before="0" w:beforeAutospacing="0" w:after="0" w:afterAutospacing="0" w:line="480" w:lineRule="auto"/>
        <w:ind w:firstLine="720"/>
        <w:jc w:val="both"/>
        <w:rPr>
          <w:color w:val="0E101A"/>
        </w:rPr>
      </w:pPr>
      <w:r w:rsidRPr="00A25039">
        <w:rPr>
          <w:color w:val="0E101A"/>
        </w:rPr>
        <w:t>Studies show that lifestyle choices are essential in determining the health of an individual. Lifestyle choices like smoking or drinking in excess may affect the health status of the person and increase their probability of illness and early death. Therefore, healthcare expenses are negatively affected, which imposes external costs on society. </w:t>
      </w:r>
      <w:r w:rsidRPr="00A25039">
        <w:rPr>
          <w:color w:val="222222"/>
          <w:shd w:val="clear" w:color="auto" w:fill="FFFFFF"/>
        </w:rPr>
        <w:t xml:space="preserve">Madison, Schmidt &amp; </w:t>
      </w:r>
      <w:proofErr w:type="spellStart"/>
      <w:r w:rsidRPr="00A25039">
        <w:rPr>
          <w:color w:val="222222"/>
          <w:shd w:val="clear" w:color="auto" w:fill="FFFFFF"/>
        </w:rPr>
        <w:t>Volpp</w:t>
      </w:r>
      <w:proofErr w:type="spellEnd"/>
      <w:r w:rsidRPr="00A25039">
        <w:rPr>
          <w:color w:val="222222"/>
          <w:shd w:val="clear" w:color="auto" w:fill="FFFFFF"/>
        </w:rPr>
        <w:t xml:space="preserve">, (2013) </w:t>
      </w:r>
      <w:r w:rsidRPr="00A25039">
        <w:rPr>
          <w:color w:val="0E101A"/>
        </w:rPr>
        <w:t>shows that other than internal costs imposed on the person and their family, after a while, the smoker can create a cost of fifteen percent for every cigarette pack in terms of increased expenses in medical and damages caused by fire, as well as low-income tax. Other studies have argued that as a result of the low life expectancy, on average, smokers can positively contribute to social security. Unhealthy lifestyle choices affect the health of an individual employee. In any case, individuals are determined to be living unhealthy lives; there is no system that can help in fixing the underlying issue. Unhealthy pay high health insurance premiums and otherwise have high costs for healthcare. </w:t>
      </w:r>
    </w:p>
    <w:p w14:paraId="5957EED1" w14:textId="77777777" w:rsidR="0016202C" w:rsidRPr="00A25039" w:rsidRDefault="0016202C" w:rsidP="000F352C">
      <w:pPr>
        <w:pStyle w:val="NormalWeb"/>
        <w:spacing w:before="0" w:beforeAutospacing="0" w:after="0" w:afterAutospacing="0" w:line="480" w:lineRule="auto"/>
        <w:ind w:firstLine="720"/>
        <w:jc w:val="both"/>
        <w:rPr>
          <w:color w:val="0E101A"/>
        </w:rPr>
      </w:pPr>
      <w:r w:rsidRPr="00A25039">
        <w:rPr>
          <w:color w:val="0E101A"/>
        </w:rPr>
        <w:t xml:space="preserve">The Affordable Care Act includes cost-containment measures, which, in case of success, could slow the growth of health expenses. Costs of healthcare have historically been known to rise at faster rates when compared to the economy. While several analyses have generally concluded that the law will not affect employer-sponsored health insurance, critics </w:t>
      </w:r>
      <w:r w:rsidRPr="00A25039">
        <w:rPr>
          <w:color w:val="0E101A"/>
        </w:rPr>
        <w:lastRenderedPageBreak/>
        <w:t>have suggested that there are incentives and subsidy costs under the ACA that have not adequately been considered. Even so, the key to actual impacts on the insurance is considering whether workers’ employers continue seeing the employee value the insurance over alternative ACA. The ACA leaves the future scope of employer insurance coverage unchanged in general and does not mean that the insurance will readily expand to cover the growing percentage of individuals</w:t>
      </w:r>
      <w:r w:rsidR="00A25039" w:rsidRPr="00A25039">
        <w:rPr>
          <w:color w:val="222222"/>
          <w:shd w:val="clear" w:color="auto" w:fill="FFFFFF"/>
        </w:rPr>
        <w:t xml:space="preserve"> (Blumberg et al., 2012)</w:t>
      </w:r>
      <w:r w:rsidRPr="00A25039">
        <w:rPr>
          <w:color w:val="0E101A"/>
        </w:rPr>
        <w:t>. Even so, ACA includes cost-containment measures that can slow down the growth in health expenses. </w:t>
      </w:r>
    </w:p>
    <w:p w14:paraId="1D71A00B" w14:textId="77777777" w:rsidR="0016202C" w:rsidRPr="00A25039" w:rsidRDefault="0016202C" w:rsidP="000F352C">
      <w:pPr>
        <w:pStyle w:val="NormalWeb"/>
        <w:spacing w:before="0" w:beforeAutospacing="0" w:after="0" w:afterAutospacing="0" w:line="480" w:lineRule="auto"/>
        <w:ind w:firstLine="720"/>
        <w:jc w:val="both"/>
        <w:rPr>
          <w:color w:val="0E101A"/>
        </w:rPr>
      </w:pPr>
      <w:r w:rsidRPr="00A25039">
        <w:rPr>
          <w:color w:val="0E101A"/>
        </w:rPr>
        <w:t>Measures taken for containing costs in the ACA, can sustain and even extended the slowdown in the growth of healthcare costs. Medicare costs limits produce an excellent efficiency in hospitals that are generally dependent on the revenues of Medicare and in markets with the competition. The ACA establishes different expectations for employers to be part of the cost of health insurance coverage for their employees. This requirement serves the purpose of encouraging employers to provide affordable coverage and, as a result limiting the cost of federal subsidies to help individuals purchase insurance to cover more independently. Other than elements of the law that are primarily focused on employers, establishing insurance exchanges, the availability of federal subsidies for individuals, individual coverage requirement, Medicaid expansion can affect the organization and employees. Some critics have argued that the Affordable act may cause many employers to stop giving health insurance, but there is no data to support such claims. </w:t>
      </w:r>
    </w:p>
    <w:p w14:paraId="2B1590DA" w14:textId="2CB8911C" w:rsidR="0016202C" w:rsidRPr="00A25039" w:rsidRDefault="0016202C" w:rsidP="000F352C">
      <w:pPr>
        <w:pStyle w:val="NormalWeb"/>
        <w:spacing w:before="0" w:beforeAutospacing="0" w:after="0" w:afterAutospacing="0" w:line="480" w:lineRule="auto"/>
        <w:ind w:firstLine="720"/>
        <w:jc w:val="both"/>
        <w:rPr>
          <w:color w:val="0E101A"/>
        </w:rPr>
      </w:pPr>
      <w:r w:rsidRPr="00A25039">
        <w:rPr>
          <w:color w:val="0E101A"/>
        </w:rPr>
        <w:t xml:space="preserve">Other than the importance of financing health care, purchasing insurance affects various </w:t>
      </w:r>
      <w:r w:rsidR="000F352C" w:rsidRPr="00A25039">
        <w:rPr>
          <w:color w:val="0E101A"/>
        </w:rPr>
        <w:t>labour</w:t>
      </w:r>
      <w:r w:rsidRPr="00A25039">
        <w:rPr>
          <w:color w:val="0E101A"/>
        </w:rPr>
        <w:t xml:space="preserve"> market outcomes. Employee health insurance helps the individual to be part of the </w:t>
      </w:r>
      <w:r w:rsidR="000F352C" w:rsidRPr="00A25039">
        <w:rPr>
          <w:color w:val="0E101A"/>
        </w:rPr>
        <w:t>labour</w:t>
      </w:r>
      <w:r w:rsidRPr="00A25039">
        <w:rPr>
          <w:color w:val="0E101A"/>
        </w:rPr>
        <w:t xml:space="preserve"> market, to operate full or part-time, to attain specific jobs</w:t>
      </w:r>
      <w:r w:rsidR="00943777">
        <w:rPr>
          <w:color w:val="0E101A"/>
        </w:rPr>
        <w:t xml:space="preserve"> targets</w:t>
      </w:r>
      <w:r w:rsidRPr="00A25039">
        <w:rPr>
          <w:color w:val="0E101A"/>
        </w:rPr>
        <w:t>, and also engage in various entrepreneurial activities</w:t>
      </w:r>
      <w:r w:rsidRPr="00A25039">
        <w:rPr>
          <w:color w:val="222222"/>
          <w:shd w:val="clear" w:color="auto" w:fill="FFFFFF"/>
        </w:rPr>
        <w:t xml:space="preserve"> (</w:t>
      </w:r>
      <w:proofErr w:type="spellStart"/>
      <w:r w:rsidRPr="00A25039">
        <w:rPr>
          <w:color w:val="222222"/>
          <w:shd w:val="clear" w:color="auto" w:fill="FFFFFF"/>
        </w:rPr>
        <w:t>Volpp</w:t>
      </w:r>
      <w:proofErr w:type="spellEnd"/>
      <w:r w:rsidRPr="00A25039">
        <w:rPr>
          <w:color w:val="222222"/>
          <w:shd w:val="clear" w:color="auto" w:fill="FFFFFF"/>
        </w:rPr>
        <w:t>, Asch, Galvin, &amp; Loewenstein, 2011)</w:t>
      </w:r>
      <w:r w:rsidRPr="00A25039">
        <w:rPr>
          <w:color w:val="0E101A"/>
        </w:rPr>
        <w:t xml:space="preserve">. As a result of the affordability of employee health insurance, unlike governmental insurance, most firms use a defined contribution approach with health insurance that provides employees the benefits they need. With this approach, the organization gives the employee health insurance. </w:t>
      </w:r>
      <w:r w:rsidRPr="00A25039">
        <w:rPr>
          <w:color w:val="0E101A"/>
        </w:rPr>
        <w:lastRenderedPageBreak/>
        <w:t>Through this, employees are guaranteed coverage and accessing health insurance subsidies. The main objective is protecting and supporting the health and well-being of staff for them to remain actively productive members of the firm.</w:t>
      </w:r>
    </w:p>
    <w:p w14:paraId="7562C047" w14:textId="1EDDAFB3" w:rsidR="0016202C" w:rsidRPr="00A25039" w:rsidRDefault="0016202C" w:rsidP="000F352C">
      <w:pPr>
        <w:pStyle w:val="NormalWeb"/>
        <w:spacing w:before="0" w:beforeAutospacing="0" w:after="0" w:afterAutospacing="0" w:line="480" w:lineRule="auto"/>
        <w:ind w:firstLine="720"/>
        <w:jc w:val="both"/>
        <w:rPr>
          <w:color w:val="0E101A"/>
        </w:rPr>
      </w:pPr>
      <w:r w:rsidRPr="00A25039">
        <w:rPr>
          <w:color w:val="0E101A"/>
        </w:rPr>
        <w:t>However, the employer insurance plan, unlike governmental insurance, may give the employee a few varying plan designs, but they may not meet the demands of the individual. Besides, these plans are sometimes offered through one vendor, which may limit choice for the employee. Because the employee is given several options for health insurance, the decision that he or she can make mainly meets the specified needs. It is generally easy for employees to have control when they make decisions about insurance. The main downside, however, is having too many options to the extent that selecting one can be challenging. Even so, paying healthcare costs out of pocket is normally not considered by most employees, at least without affecting a person’s savings. Therefore, employer-sponsored benefit plans are vital for ensuring health and well-being</w:t>
      </w:r>
      <w:r w:rsidR="00943777">
        <w:rPr>
          <w:color w:val="0E101A"/>
        </w:rPr>
        <w:t xml:space="preserve"> of the employee</w:t>
      </w:r>
      <w:bookmarkStart w:id="0" w:name="_GoBack"/>
      <w:bookmarkEnd w:id="0"/>
      <w:r w:rsidRPr="00A25039">
        <w:rPr>
          <w:color w:val="0E101A"/>
        </w:rPr>
        <w:t>.  </w:t>
      </w:r>
    </w:p>
    <w:p w14:paraId="68774FC3" w14:textId="77777777" w:rsidR="0080303A" w:rsidRPr="00A25039" w:rsidRDefault="0080303A" w:rsidP="000F352C">
      <w:pPr>
        <w:pStyle w:val="NormalWeb"/>
        <w:spacing w:before="0" w:beforeAutospacing="0" w:after="0" w:afterAutospacing="0" w:line="480" w:lineRule="auto"/>
        <w:jc w:val="both"/>
        <w:rPr>
          <w:color w:val="1C1E29"/>
        </w:rPr>
      </w:pPr>
      <w:r w:rsidRPr="00A25039">
        <w:rPr>
          <w:color w:val="1C1E29"/>
        </w:rPr>
        <w:br w:type="page"/>
      </w:r>
      <w:r w:rsidRPr="00A25039">
        <w:rPr>
          <w:color w:val="1C1E29"/>
        </w:rPr>
        <w:lastRenderedPageBreak/>
        <w:t>References</w:t>
      </w:r>
    </w:p>
    <w:p w14:paraId="443BE24D" w14:textId="77777777" w:rsidR="00CC0019" w:rsidRPr="00A25039" w:rsidRDefault="0016202C" w:rsidP="0016202C">
      <w:pPr>
        <w:pStyle w:val="NormalWeb"/>
        <w:spacing w:before="0" w:beforeAutospacing="0" w:after="0" w:afterAutospacing="0" w:line="480" w:lineRule="auto"/>
        <w:ind w:left="567" w:hanging="567"/>
        <w:rPr>
          <w:color w:val="222222"/>
          <w:shd w:val="clear" w:color="auto" w:fill="FFFFFF"/>
        </w:rPr>
      </w:pPr>
      <w:r w:rsidRPr="00A25039">
        <w:rPr>
          <w:color w:val="222222"/>
          <w:shd w:val="clear" w:color="auto" w:fill="FFFFFF"/>
        </w:rPr>
        <w:t xml:space="preserve">Madison, K., Schmidt, H., &amp; </w:t>
      </w:r>
      <w:proofErr w:type="spellStart"/>
      <w:r w:rsidRPr="00A25039">
        <w:rPr>
          <w:color w:val="222222"/>
          <w:shd w:val="clear" w:color="auto" w:fill="FFFFFF"/>
        </w:rPr>
        <w:t>Volpp</w:t>
      </w:r>
      <w:proofErr w:type="spellEnd"/>
      <w:r w:rsidRPr="00A25039">
        <w:rPr>
          <w:color w:val="222222"/>
          <w:shd w:val="clear" w:color="auto" w:fill="FFFFFF"/>
        </w:rPr>
        <w:t>, K. G. (2013). Smoking, obesity, health insurance, and health incentives in the Affordable Care Act. </w:t>
      </w:r>
      <w:r w:rsidRPr="00A25039">
        <w:rPr>
          <w:i/>
          <w:iCs/>
          <w:color w:val="222222"/>
          <w:shd w:val="clear" w:color="auto" w:fill="FFFFFF"/>
        </w:rPr>
        <w:t>Jama</w:t>
      </w:r>
      <w:r w:rsidRPr="00A25039">
        <w:rPr>
          <w:color w:val="222222"/>
          <w:shd w:val="clear" w:color="auto" w:fill="FFFFFF"/>
        </w:rPr>
        <w:t>, </w:t>
      </w:r>
      <w:r w:rsidRPr="00A25039">
        <w:rPr>
          <w:i/>
          <w:iCs/>
          <w:color w:val="222222"/>
          <w:shd w:val="clear" w:color="auto" w:fill="FFFFFF"/>
        </w:rPr>
        <w:t>310</w:t>
      </w:r>
      <w:r w:rsidRPr="00A25039">
        <w:rPr>
          <w:color w:val="222222"/>
          <w:shd w:val="clear" w:color="auto" w:fill="FFFFFF"/>
        </w:rPr>
        <w:t>(2), 143-144.</w:t>
      </w:r>
    </w:p>
    <w:p w14:paraId="4865847B" w14:textId="77777777" w:rsidR="0016202C" w:rsidRPr="00A25039" w:rsidRDefault="0016202C" w:rsidP="0016202C">
      <w:pPr>
        <w:pStyle w:val="NormalWeb"/>
        <w:spacing w:before="0" w:beforeAutospacing="0" w:after="0" w:afterAutospacing="0" w:line="480" w:lineRule="auto"/>
        <w:ind w:left="567" w:hanging="567"/>
        <w:rPr>
          <w:color w:val="222222"/>
          <w:shd w:val="clear" w:color="auto" w:fill="FFFFFF"/>
        </w:rPr>
      </w:pPr>
      <w:proofErr w:type="spellStart"/>
      <w:r w:rsidRPr="00A25039">
        <w:rPr>
          <w:color w:val="222222"/>
          <w:shd w:val="clear" w:color="auto" w:fill="FFFFFF"/>
        </w:rPr>
        <w:t>Volpp</w:t>
      </w:r>
      <w:proofErr w:type="spellEnd"/>
      <w:r w:rsidRPr="00A25039">
        <w:rPr>
          <w:color w:val="222222"/>
          <w:shd w:val="clear" w:color="auto" w:fill="FFFFFF"/>
        </w:rPr>
        <w:t xml:space="preserve">, K. G., Asch, D. A., Galvin, R., &amp; Loewenstein, G. (2011). Redesigning employee health incentives—lessons from </w:t>
      </w:r>
      <w:proofErr w:type="spellStart"/>
      <w:r w:rsidRPr="00A25039">
        <w:rPr>
          <w:color w:val="222222"/>
          <w:shd w:val="clear" w:color="auto" w:fill="FFFFFF"/>
        </w:rPr>
        <w:t>behavioral</w:t>
      </w:r>
      <w:proofErr w:type="spellEnd"/>
      <w:r w:rsidRPr="00A25039">
        <w:rPr>
          <w:color w:val="222222"/>
          <w:shd w:val="clear" w:color="auto" w:fill="FFFFFF"/>
        </w:rPr>
        <w:t xml:space="preserve"> economics. </w:t>
      </w:r>
      <w:r w:rsidRPr="00A25039">
        <w:rPr>
          <w:i/>
          <w:iCs/>
          <w:color w:val="222222"/>
          <w:shd w:val="clear" w:color="auto" w:fill="FFFFFF"/>
        </w:rPr>
        <w:t>The New England journal of medicine</w:t>
      </w:r>
      <w:r w:rsidRPr="00A25039">
        <w:rPr>
          <w:color w:val="222222"/>
          <w:shd w:val="clear" w:color="auto" w:fill="FFFFFF"/>
        </w:rPr>
        <w:t>, </w:t>
      </w:r>
      <w:r w:rsidRPr="00A25039">
        <w:rPr>
          <w:i/>
          <w:iCs/>
          <w:color w:val="222222"/>
          <w:shd w:val="clear" w:color="auto" w:fill="FFFFFF"/>
        </w:rPr>
        <w:t>365</w:t>
      </w:r>
      <w:r w:rsidRPr="00A25039">
        <w:rPr>
          <w:color w:val="222222"/>
          <w:shd w:val="clear" w:color="auto" w:fill="FFFFFF"/>
        </w:rPr>
        <w:t>(5), 388.</w:t>
      </w:r>
    </w:p>
    <w:p w14:paraId="79983AB9" w14:textId="77777777" w:rsidR="00A25039" w:rsidRPr="00A25039" w:rsidRDefault="00A25039" w:rsidP="0016202C">
      <w:pPr>
        <w:pStyle w:val="NormalWeb"/>
        <w:spacing w:before="0" w:beforeAutospacing="0" w:after="0" w:afterAutospacing="0" w:line="480" w:lineRule="auto"/>
        <w:ind w:left="567" w:hanging="567"/>
        <w:rPr>
          <w:color w:val="222222"/>
          <w:shd w:val="clear" w:color="auto" w:fill="FFFFFF"/>
        </w:rPr>
      </w:pPr>
      <w:r w:rsidRPr="00A25039">
        <w:rPr>
          <w:color w:val="222222"/>
          <w:shd w:val="clear" w:color="auto" w:fill="FFFFFF"/>
        </w:rPr>
        <w:t xml:space="preserve">Blumberg, L. J., </w:t>
      </w:r>
      <w:proofErr w:type="spellStart"/>
      <w:r w:rsidRPr="00A25039">
        <w:rPr>
          <w:color w:val="222222"/>
          <w:shd w:val="clear" w:color="auto" w:fill="FFFFFF"/>
        </w:rPr>
        <w:t>Buettgens</w:t>
      </w:r>
      <w:proofErr w:type="spellEnd"/>
      <w:r w:rsidRPr="00A25039">
        <w:rPr>
          <w:color w:val="222222"/>
          <w:shd w:val="clear" w:color="auto" w:fill="FFFFFF"/>
        </w:rPr>
        <w:t xml:space="preserve">, M., Feder, J., &amp; </w:t>
      </w:r>
      <w:proofErr w:type="spellStart"/>
      <w:r w:rsidRPr="00A25039">
        <w:rPr>
          <w:color w:val="222222"/>
          <w:shd w:val="clear" w:color="auto" w:fill="FFFFFF"/>
        </w:rPr>
        <w:t>Holahan</w:t>
      </w:r>
      <w:proofErr w:type="spellEnd"/>
      <w:r w:rsidRPr="00A25039">
        <w:rPr>
          <w:color w:val="222222"/>
          <w:shd w:val="clear" w:color="auto" w:fill="FFFFFF"/>
        </w:rPr>
        <w:t>, J. (2012). Implications of the Affordable Care Act for American Business. </w:t>
      </w:r>
      <w:r w:rsidRPr="00A25039">
        <w:rPr>
          <w:i/>
          <w:iCs/>
          <w:color w:val="222222"/>
          <w:shd w:val="clear" w:color="auto" w:fill="FFFFFF"/>
        </w:rPr>
        <w:t>Washington, DC: Urban Institute</w:t>
      </w:r>
      <w:r w:rsidRPr="00A25039">
        <w:rPr>
          <w:color w:val="222222"/>
          <w:shd w:val="clear" w:color="auto" w:fill="FFFFFF"/>
        </w:rPr>
        <w:t>.</w:t>
      </w:r>
    </w:p>
    <w:p w14:paraId="6011B574" w14:textId="77777777" w:rsidR="00A25039" w:rsidRPr="00A25039" w:rsidRDefault="00A25039" w:rsidP="0016202C">
      <w:pPr>
        <w:pStyle w:val="NormalWeb"/>
        <w:spacing w:before="0" w:beforeAutospacing="0" w:after="0" w:afterAutospacing="0" w:line="480" w:lineRule="auto"/>
        <w:ind w:left="567" w:hanging="567"/>
        <w:rPr>
          <w:color w:val="222222"/>
          <w:shd w:val="clear" w:color="auto" w:fill="FFFFFF"/>
          <w:lang w:val="en-US"/>
        </w:rPr>
      </w:pPr>
      <w:proofErr w:type="spellStart"/>
      <w:r w:rsidRPr="00A25039">
        <w:rPr>
          <w:color w:val="222222"/>
          <w:shd w:val="clear" w:color="auto" w:fill="FFFFFF"/>
        </w:rPr>
        <w:t>Tolos</w:t>
      </w:r>
      <w:proofErr w:type="spellEnd"/>
      <w:r w:rsidRPr="00A25039">
        <w:rPr>
          <w:color w:val="222222"/>
          <w:shd w:val="clear" w:color="auto" w:fill="FFFFFF"/>
        </w:rPr>
        <w:t xml:space="preserve">, H., </w:t>
      </w:r>
      <w:proofErr w:type="spellStart"/>
      <w:r w:rsidRPr="00A25039">
        <w:rPr>
          <w:color w:val="222222"/>
          <w:shd w:val="clear" w:color="auto" w:fill="FFFFFF"/>
        </w:rPr>
        <w:t>Samsudin</w:t>
      </w:r>
      <w:proofErr w:type="spellEnd"/>
      <w:r w:rsidRPr="00A25039">
        <w:rPr>
          <w:color w:val="222222"/>
          <w:shd w:val="clear" w:color="auto" w:fill="FFFFFF"/>
        </w:rPr>
        <w:t>, S., Ahmad, S. N., &amp; Abu Bakar, A. (2016). Profiles of Employees Inpatient Claims: Evidence from Group Health Insurance.</w:t>
      </w:r>
    </w:p>
    <w:sectPr w:rsidR="00A25039" w:rsidRPr="00A25039"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7E23C0" w14:textId="77777777" w:rsidR="003A1716" w:rsidRDefault="003A1716" w:rsidP="00EE0CEB">
      <w:pPr>
        <w:spacing w:after="0" w:line="240" w:lineRule="auto"/>
      </w:pPr>
      <w:r>
        <w:separator/>
      </w:r>
    </w:p>
  </w:endnote>
  <w:endnote w:type="continuationSeparator" w:id="0">
    <w:p w14:paraId="528BD2BA" w14:textId="77777777" w:rsidR="003A1716" w:rsidRDefault="003A1716"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6FB21" w14:textId="77777777" w:rsidR="003A1716" w:rsidRDefault="003A1716" w:rsidP="00EE0CEB">
      <w:pPr>
        <w:spacing w:after="0" w:line="240" w:lineRule="auto"/>
      </w:pPr>
      <w:r>
        <w:separator/>
      </w:r>
    </w:p>
  </w:footnote>
  <w:footnote w:type="continuationSeparator" w:id="0">
    <w:p w14:paraId="65A9119C" w14:textId="77777777" w:rsidR="003A1716" w:rsidRDefault="003A1716" w:rsidP="00EE0C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7E497" w14:textId="77777777" w:rsidR="002162C1" w:rsidRPr="0016202C" w:rsidRDefault="0016202C" w:rsidP="00617D8A">
    <w:pPr>
      <w:rPr>
        <w:rFonts w:ascii="Times New Roman" w:hAnsi="Times New Roman"/>
        <w:color w:val="222222"/>
        <w:sz w:val="24"/>
        <w:szCs w:val="24"/>
        <w:shd w:val="clear" w:color="auto" w:fill="FFFFFF"/>
      </w:rPr>
    </w:pPr>
    <w:r w:rsidRPr="0016202C">
      <w:rPr>
        <w:rStyle w:val="Strong"/>
        <w:rFonts w:ascii="Times New Roman" w:hAnsi="Times New Roman"/>
        <w:b w:val="0"/>
        <w:color w:val="0E101A"/>
        <w:sz w:val="24"/>
        <w:szCs w:val="24"/>
      </w:rPr>
      <w:t>HEALTH INSURANCE AND THE AFFORDABLE CARE</w:t>
    </w:r>
    <w:r w:rsidRPr="0016202C">
      <w:rPr>
        <w:rStyle w:val="Strong"/>
        <w:rFonts w:ascii="Times New Roman" w:hAnsi="Times New Roman"/>
        <w:b w:val="0"/>
        <w:color w:val="0E101A"/>
        <w:sz w:val="24"/>
        <w:szCs w:val="24"/>
      </w:rPr>
      <w:tab/>
    </w:r>
    <w:r w:rsidRPr="0016202C">
      <w:rPr>
        <w:rStyle w:val="Strong"/>
        <w:rFonts w:ascii="Times New Roman" w:hAnsi="Times New Roman"/>
        <w:b w:val="0"/>
        <w:color w:val="0E101A"/>
        <w:sz w:val="24"/>
        <w:szCs w:val="24"/>
      </w:rPr>
      <w:tab/>
    </w:r>
    <w:r w:rsidRPr="0016202C">
      <w:rPr>
        <w:rStyle w:val="Strong"/>
        <w:rFonts w:ascii="Times New Roman" w:hAnsi="Times New Roman"/>
        <w:b w:val="0"/>
        <w:color w:val="0E101A"/>
        <w:sz w:val="24"/>
        <w:szCs w:val="24"/>
      </w:rPr>
      <w:tab/>
    </w:r>
    <w:r w:rsidR="002B7407" w:rsidRPr="0016202C">
      <w:rPr>
        <w:rFonts w:ascii="Times New Roman" w:hAnsi="Times New Roman"/>
        <w:sz w:val="24"/>
        <w:szCs w:val="24"/>
      </w:rPr>
      <w:tab/>
    </w:r>
    <w:r w:rsidR="00814E2C" w:rsidRPr="0016202C">
      <w:rPr>
        <w:rFonts w:ascii="Times New Roman" w:hAnsi="Times New Roman"/>
        <w:sz w:val="24"/>
        <w:szCs w:val="24"/>
      </w:rPr>
      <w:fldChar w:fldCharType="begin"/>
    </w:r>
    <w:r w:rsidR="00F93000" w:rsidRPr="0016202C">
      <w:rPr>
        <w:rFonts w:ascii="Times New Roman" w:hAnsi="Times New Roman"/>
        <w:sz w:val="24"/>
        <w:szCs w:val="24"/>
      </w:rPr>
      <w:instrText xml:space="preserve"> PAGE   \* MERGEFORMAT </w:instrText>
    </w:r>
    <w:r w:rsidR="00814E2C" w:rsidRPr="0016202C">
      <w:rPr>
        <w:rFonts w:ascii="Times New Roman" w:hAnsi="Times New Roman"/>
        <w:sz w:val="24"/>
        <w:szCs w:val="24"/>
      </w:rPr>
      <w:fldChar w:fldCharType="separate"/>
    </w:r>
    <w:r w:rsidR="00A25039">
      <w:rPr>
        <w:rFonts w:ascii="Times New Roman" w:hAnsi="Times New Roman"/>
        <w:noProof/>
        <w:sz w:val="24"/>
        <w:szCs w:val="24"/>
      </w:rPr>
      <w:t>2</w:t>
    </w:r>
    <w:r w:rsidR="00814E2C" w:rsidRPr="0016202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B6373" w14:textId="77777777" w:rsidR="002162C1" w:rsidRPr="00C35B4A" w:rsidRDefault="002162C1" w:rsidP="0016202C">
    <w:pPr>
      <w:pStyle w:val="NormalWeb"/>
      <w:spacing w:before="0" w:beforeAutospacing="0" w:after="0" w:afterAutospacing="0"/>
      <w:rPr>
        <w:color w:val="222222"/>
        <w:shd w:val="clear" w:color="auto" w:fill="FFFFFF"/>
      </w:rPr>
    </w:pPr>
    <w:r w:rsidRPr="00D71ECA">
      <w:t>Running head</w:t>
    </w:r>
    <w:r w:rsidR="00085728" w:rsidRPr="00D71ECA">
      <w:t>:</w:t>
    </w:r>
    <w:r w:rsidR="00085728" w:rsidRPr="00D71ECA">
      <w:rPr>
        <w:shd w:val="clear" w:color="auto" w:fill="FFFFFF"/>
      </w:rPr>
      <w:t xml:space="preserve"> </w:t>
    </w:r>
    <w:r w:rsidR="0016202C" w:rsidRPr="0016202C">
      <w:rPr>
        <w:rStyle w:val="Strong"/>
        <w:b w:val="0"/>
        <w:color w:val="0E101A"/>
      </w:rPr>
      <w:t>HEALTH INSURANCE AND THE AFFORDABLE CARE</w:t>
    </w:r>
    <w:r w:rsidR="0016202C">
      <w:rPr>
        <w:rStyle w:val="Strong"/>
        <w:b w:val="0"/>
        <w:color w:val="0E101A"/>
      </w:rPr>
      <w:tab/>
    </w:r>
    <w:r w:rsidR="0016202C">
      <w:rPr>
        <w:rStyle w:val="Strong"/>
        <w:b w:val="0"/>
        <w:color w:val="0E101A"/>
      </w:rPr>
      <w:tab/>
    </w:r>
    <w:r w:rsidR="00814E2C" w:rsidRPr="00D71ECA">
      <w:fldChar w:fldCharType="begin"/>
    </w:r>
    <w:r w:rsidRPr="00D71ECA">
      <w:instrText xml:space="preserve"> PAGE   \* MERGEFORMAT </w:instrText>
    </w:r>
    <w:r w:rsidR="00814E2C" w:rsidRPr="00D71ECA">
      <w:fldChar w:fldCharType="separate"/>
    </w:r>
    <w:r w:rsidR="00A25039">
      <w:rPr>
        <w:noProof/>
      </w:rPr>
      <w:t>1</w:t>
    </w:r>
    <w:r w:rsidR="00814E2C" w:rsidRPr="00D71ECA">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D6694"/>
    <w:multiLevelType w:val="hybridMultilevel"/>
    <w:tmpl w:val="DE089C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2" w15:restartNumberingAfterBreak="0">
    <w:nsid w:val="25544996"/>
    <w:multiLevelType w:val="hybridMultilevel"/>
    <w:tmpl w:val="A3A6B97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4" w15:restartNumberingAfterBreak="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5" w15:restartNumberingAfterBreak="0">
    <w:nsid w:val="3E8A759D"/>
    <w:multiLevelType w:val="hybridMultilevel"/>
    <w:tmpl w:val="CB0C409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abstractNum w:abstractNumId="9" w15:restartNumberingAfterBreak="0">
    <w:nsid w:val="5FD70A85"/>
    <w:multiLevelType w:val="hybridMultilevel"/>
    <w:tmpl w:val="9168CB6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9DF2144"/>
    <w:multiLevelType w:val="hybridMultilevel"/>
    <w:tmpl w:val="B3B4B1F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8"/>
  </w:num>
  <w:num w:numId="5">
    <w:abstractNumId w:val="3"/>
  </w:num>
  <w:num w:numId="6">
    <w:abstractNumId w:val="1"/>
  </w:num>
  <w:num w:numId="7">
    <w:abstractNumId w:val="10"/>
  </w:num>
  <w:num w:numId="8">
    <w:abstractNumId w:val="0"/>
  </w:num>
  <w:num w:numId="9">
    <w:abstractNumId w:val="5"/>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CEB"/>
    <w:rsid w:val="00002EDE"/>
    <w:rsid w:val="000044BE"/>
    <w:rsid w:val="00006013"/>
    <w:rsid w:val="00007E1A"/>
    <w:rsid w:val="00010A29"/>
    <w:rsid w:val="00015405"/>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C1884"/>
    <w:rsid w:val="000C3195"/>
    <w:rsid w:val="000C50C9"/>
    <w:rsid w:val="000C541A"/>
    <w:rsid w:val="000D0058"/>
    <w:rsid w:val="000D70F6"/>
    <w:rsid w:val="000E138F"/>
    <w:rsid w:val="000F352C"/>
    <w:rsid w:val="00102769"/>
    <w:rsid w:val="00106F9B"/>
    <w:rsid w:val="001111B0"/>
    <w:rsid w:val="001112BE"/>
    <w:rsid w:val="001115AF"/>
    <w:rsid w:val="00111D49"/>
    <w:rsid w:val="0012340F"/>
    <w:rsid w:val="0012618F"/>
    <w:rsid w:val="001328C3"/>
    <w:rsid w:val="00140D3E"/>
    <w:rsid w:val="00144CC8"/>
    <w:rsid w:val="00146D5F"/>
    <w:rsid w:val="001537A1"/>
    <w:rsid w:val="0016018E"/>
    <w:rsid w:val="0016202C"/>
    <w:rsid w:val="00166562"/>
    <w:rsid w:val="0019128B"/>
    <w:rsid w:val="00192BF3"/>
    <w:rsid w:val="001B55F5"/>
    <w:rsid w:val="001C5B66"/>
    <w:rsid w:val="001C7CA5"/>
    <w:rsid w:val="001D181E"/>
    <w:rsid w:val="001D29F6"/>
    <w:rsid w:val="001D3948"/>
    <w:rsid w:val="001D3CB8"/>
    <w:rsid w:val="001D6074"/>
    <w:rsid w:val="001D6702"/>
    <w:rsid w:val="001D6B46"/>
    <w:rsid w:val="001E3C0B"/>
    <w:rsid w:val="001E7643"/>
    <w:rsid w:val="00205C66"/>
    <w:rsid w:val="0021072A"/>
    <w:rsid w:val="002119B4"/>
    <w:rsid w:val="00212310"/>
    <w:rsid w:val="002151C9"/>
    <w:rsid w:val="002153DF"/>
    <w:rsid w:val="002162C1"/>
    <w:rsid w:val="00233E22"/>
    <w:rsid w:val="00235AB8"/>
    <w:rsid w:val="0024775F"/>
    <w:rsid w:val="00250F1E"/>
    <w:rsid w:val="002540AE"/>
    <w:rsid w:val="00265EB2"/>
    <w:rsid w:val="0028520B"/>
    <w:rsid w:val="00294EC0"/>
    <w:rsid w:val="00295AD6"/>
    <w:rsid w:val="002A6E48"/>
    <w:rsid w:val="002B070F"/>
    <w:rsid w:val="002B28E6"/>
    <w:rsid w:val="002B7407"/>
    <w:rsid w:val="002B7C73"/>
    <w:rsid w:val="002C5761"/>
    <w:rsid w:val="002C7A6E"/>
    <w:rsid w:val="002E03A6"/>
    <w:rsid w:val="002E0C45"/>
    <w:rsid w:val="002E323B"/>
    <w:rsid w:val="0030588D"/>
    <w:rsid w:val="003137E7"/>
    <w:rsid w:val="00315563"/>
    <w:rsid w:val="0032549F"/>
    <w:rsid w:val="0033332F"/>
    <w:rsid w:val="00345B55"/>
    <w:rsid w:val="00356213"/>
    <w:rsid w:val="00367188"/>
    <w:rsid w:val="00367E6D"/>
    <w:rsid w:val="003717AA"/>
    <w:rsid w:val="00376A24"/>
    <w:rsid w:val="00384181"/>
    <w:rsid w:val="003A028B"/>
    <w:rsid w:val="003A1716"/>
    <w:rsid w:val="003A2E95"/>
    <w:rsid w:val="003A31BE"/>
    <w:rsid w:val="003B135E"/>
    <w:rsid w:val="00412BFD"/>
    <w:rsid w:val="00413B7D"/>
    <w:rsid w:val="00415D70"/>
    <w:rsid w:val="00420290"/>
    <w:rsid w:val="00424908"/>
    <w:rsid w:val="0043638C"/>
    <w:rsid w:val="00445E8B"/>
    <w:rsid w:val="00465DF5"/>
    <w:rsid w:val="0047247E"/>
    <w:rsid w:val="00474E66"/>
    <w:rsid w:val="00477514"/>
    <w:rsid w:val="0048046A"/>
    <w:rsid w:val="00490E9D"/>
    <w:rsid w:val="004A0C02"/>
    <w:rsid w:val="004A278D"/>
    <w:rsid w:val="004A64A7"/>
    <w:rsid w:val="004B60A8"/>
    <w:rsid w:val="004C490B"/>
    <w:rsid w:val="004C7CC3"/>
    <w:rsid w:val="004D1F73"/>
    <w:rsid w:val="004F5F26"/>
    <w:rsid w:val="004F6A64"/>
    <w:rsid w:val="005029B7"/>
    <w:rsid w:val="005135C6"/>
    <w:rsid w:val="00550857"/>
    <w:rsid w:val="00551462"/>
    <w:rsid w:val="00553093"/>
    <w:rsid w:val="0055684B"/>
    <w:rsid w:val="00580375"/>
    <w:rsid w:val="005907FD"/>
    <w:rsid w:val="00594623"/>
    <w:rsid w:val="005A42D9"/>
    <w:rsid w:val="005A62FB"/>
    <w:rsid w:val="005C2821"/>
    <w:rsid w:val="005C72E8"/>
    <w:rsid w:val="005D29AA"/>
    <w:rsid w:val="005D5FEB"/>
    <w:rsid w:val="005D6FE4"/>
    <w:rsid w:val="005E05C5"/>
    <w:rsid w:val="005F2F90"/>
    <w:rsid w:val="00617D8A"/>
    <w:rsid w:val="00620267"/>
    <w:rsid w:val="00620CA1"/>
    <w:rsid w:val="00626395"/>
    <w:rsid w:val="00633D83"/>
    <w:rsid w:val="0063766C"/>
    <w:rsid w:val="006611A0"/>
    <w:rsid w:val="006625DE"/>
    <w:rsid w:val="00671C39"/>
    <w:rsid w:val="00676499"/>
    <w:rsid w:val="0068416D"/>
    <w:rsid w:val="00690410"/>
    <w:rsid w:val="00695D4B"/>
    <w:rsid w:val="00695F7B"/>
    <w:rsid w:val="006A4F27"/>
    <w:rsid w:val="006B1D4E"/>
    <w:rsid w:val="006B3340"/>
    <w:rsid w:val="006C5B93"/>
    <w:rsid w:val="006D0D13"/>
    <w:rsid w:val="006D7690"/>
    <w:rsid w:val="006E16C8"/>
    <w:rsid w:val="006E5560"/>
    <w:rsid w:val="006E6300"/>
    <w:rsid w:val="006E6928"/>
    <w:rsid w:val="006F0CAA"/>
    <w:rsid w:val="006F3337"/>
    <w:rsid w:val="006F3F78"/>
    <w:rsid w:val="006F41FC"/>
    <w:rsid w:val="007079EA"/>
    <w:rsid w:val="00712AE0"/>
    <w:rsid w:val="007232ED"/>
    <w:rsid w:val="0072527A"/>
    <w:rsid w:val="007270A3"/>
    <w:rsid w:val="00752D42"/>
    <w:rsid w:val="0077655D"/>
    <w:rsid w:val="00776733"/>
    <w:rsid w:val="00792DF9"/>
    <w:rsid w:val="007C11E7"/>
    <w:rsid w:val="007C5C80"/>
    <w:rsid w:val="007D6BCF"/>
    <w:rsid w:val="007E4866"/>
    <w:rsid w:val="007E5D38"/>
    <w:rsid w:val="007F14D1"/>
    <w:rsid w:val="007F4F3A"/>
    <w:rsid w:val="0080303A"/>
    <w:rsid w:val="00804DC5"/>
    <w:rsid w:val="00814E2C"/>
    <w:rsid w:val="00825798"/>
    <w:rsid w:val="00836352"/>
    <w:rsid w:val="00850FE5"/>
    <w:rsid w:val="008523FE"/>
    <w:rsid w:val="00860C12"/>
    <w:rsid w:val="008646BD"/>
    <w:rsid w:val="0087019F"/>
    <w:rsid w:val="008824F3"/>
    <w:rsid w:val="00884502"/>
    <w:rsid w:val="00891CCC"/>
    <w:rsid w:val="0089319C"/>
    <w:rsid w:val="0089488C"/>
    <w:rsid w:val="008B23B7"/>
    <w:rsid w:val="008B3D4C"/>
    <w:rsid w:val="008B4226"/>
    <w:rsid w:val="008B5ACB"/>
    <w:rsid w:val="008C6FA5"/>
    <w:rsid w:val="008D3D1A"/>
    <w:rsid w:val="008D4D89"/>
    <w:rsid w:val="008D54DC"/>
    <w:rsid w:val="008F29D2"/>
    <w:rsid w:val="008F2C69"/>
    <w:rsid w:val="008F3955"/>
    <w:rsid w:val="009017B5"/>
    <w:rsid w:val="00922505"/>
    <w:rsid w:val="00927682"/>
    <w:rsid w:val="00934D12"/>
    <w:rsid w:val="00943777"/>
    <w:rsid w:val="009448BB"/>
    <w:rsid w:val="00944A3F"/>
    <w:rsid w:val="009478C8"/>
    <w:rsid w:val="00955F03"/>
    <w:rsid w:val="009560DB"/>
    <w:rsid w:val="00960273"/>
    <w:rsid w:val="00970E83"/>
    <w:rsid w:val="009738DD"/>
    <w:rsid w:val="0097726B"/>
    <w:rsid w:val="009977FC"/>
    <w:rsid w:val="009A16A5"/>
    <w:rsid w:val="009A4C6F"/>
    <w:rsid w:val="009C329E"/>
    <w:rsid w:val="009E2386"/>
    <w:rsid w:val="009F4317"/>
    <w:rsid w:val="00A1457E"/>
    <w:rsid w:val="00A25039"/>
    <w:rsid w:val="00A32974"/>
    <w:rsid w:val="00A34506"/>
    <w:rsid w:val="00A43878"/>
    <w:rsid w:val="00A4669F"/>
    <w:rsid w:val="00A50D6D"/>
    <w:rsid w:val="00A5478F"/>
    <w:rsid w:val="00A55B56"/>
    <w:rsid w:val="00A65620"/>
    <w:rsid w:val="00A8252F"/>
    <w:rsid w:val="00A83830"/>
    <w:rsid w:val="00A96B1E"/>
    <w:rsid w:val="00AB1494"/>
    <w:rsid w:val="00AB5E71"/>
    <w:rsid w:val="00AC229A"/>
    <w:rsid w:val="00AC49E6"/>
    <w:rsid w:val="00AD7A04"/>
    <w:rsid w:val="00AE71ED"/>
    <w:rsid w:val="00AF081B"/>
    <w:rsid w:val="00AF2D70"/>
    <w:rsid w:val="00AF666C"/>
    <w:rsid w:val="00AF70FB"/>
    <w:rsid w:val="00B00B5F"/>
    <w:rsid w:val="00B11271"/>
    <w:rsid w:val="00B12000"/>
    <w:rsid w:val="00B2242E"/>
    <w:rsid w:val="00B2350B"/>
    <w:rsid w:val="00B275DC"/>
    <w:rsid w:val="00B31988"/>
    <w:rsid w:val="00B36272"/>
    <w:rsid w:val="00B44057"/>
    <w:rsid w:val="00B44828"/>
    <w:rsid w:val="00B456E2"/>
    <w:rsid w:val="00B623DC"/>
    <w:rsid w:val="00B64389"/>
    <w:rsid w:val="00B73084"/>
    <w:rsid w:val="00BB1910"/>
    <w:rsid w:val="00BB48CF"/>
    <w:rsid w:val="00BC3EDC"/>
    <w:rsid w:val="00BC77AC"/>
    <w:rsid w:val="00BD6E4C"/>
    <w:rsid w:val="00BE1268"/>
    <w:rsid w:val="00C040C9"/>
    <w:rsid w:val="00C07DAC"/>
    <w:rsid w:val="00C1121D"/>
    <w:rsid w:val="00C153B3"/>
    <w:rsid w:val="00C22D29"/>
    <w:rsid w:val="00C25296"/>
    <w:rsid w:val="00C317C5"/>
    <w:rsid w:val="00C3236A"/>
    <w:rsid w:val="00C35B4A"/>
    <w:rsid w:val="00C36742"/>
    <w:rsid w:val="00C40D74"/>
    <w:rsid w:val="00C44608"/>
    <w:rsid w:val="00C55F16"/>
    <w:rsid w:val="00C96326"/>
    <w:rsid w:val="00C97262"/>
    <w:rsid w:val="00CA1428"/>
    <w:rsid w:val="00CA5DAB"/>
    <w:rsid w:val="00CA6B71"/>
    <w:rsid w:val="00CB2CA2"/>
    <w:rsid w:val="00CB3CB8"/>
    <w:rsid w:val="00CC0019"/>
    <w:rsid w:val="00CC10E7"/>
    <w:rsid w:val="00CD2278"/>
    <w:rsid w:val="00CD734F"/>
    <w:rsid w:val="00CF0A79"/>
    <w:rsid w:val="00CF4902"/>
    <w:rsid w:val="00CF4AFC"/>
    <w:rsid w:val="00D17A76"/>
    <w:rsid w:val="00D3003F"/>
    <w:rsid w:val="00D417A0"/>
    <w:rsid w:val="00D42B1C"/>
    <w:rsid w:val="00D44369"/>
    <w:rsid w:val="00D44B29"/>
    <w:rsid w:val="00D60476"/>
    <w:rsid w:val="00D63303"/>
    <w:rsid w:val="00D64291"/>
    <w:rsid w:val="00D67A29"/>
    <w:rsid w:val="00D71ECA"/>
    <w:rsid w:val="00D73408"/>
    <w:rsid w:val="00D742A4"/>
    <w:rsid w:val="00D765D4"/>
    <w:rsid w:val="00D844CC"/>
    <w:rsid w:val="00D86804"/>
    <w:rsid w:val="00D96F06"/>
    <w:rsid w:val="00DA2E5E"/>
    <w:rsid w:val="00DA560A"/>
    <w:rsid w:val="00DE0C3D"/>
    <w:rsid w:val="00DE148C"/>
    <w:rsid w:val="00DF1B4E"/>
    <w:rsid w:val="00DF481E"/>
    <w:rsid w:val="00DF68AD"/>
    <w:rsid w:val="00E06680"/>
    <w:rsid w:val="00E07B0D"/>
    <w:rsid w:val="00E07EE4"/>
    <w:rsid w:val="00E12FB0"/>
    <w:rsid w:val="00E23AD5"/>
    <w:rsid w:val="00E2663F"/>
    <w:rsid w:val="00E40A17"/>
    <w:rsid w:val="00E430DA"/>
    <w:rsid w:val="00E57310"/>
    <w:rsid w:val="00E57A4F"/>
    <w:rsid w:val="00E84A92"/>
    <w:rsid w:val="00E91E2E"/>
    <w:rsid w:val="00EA2595"/>
    <w:rsid w:val="00EA5DBD"/>
    <w:rsid w:val="00EB1BF7"/>
    <w:rsid w:val="00EB36EC"/>
    <w:rsid w:val="00EB7C42"/>
    <w:rsid w:val="00ED0D54"/>
    <w:rsid w:val="00EE0CEB"/>
    <w:rsid w:val="00EF12A2"/>
    <w:rsid w:val="00EF7653"/>
    <w:rsid w:val="00F0009F"/>
    <w:rsid w:val="00F17A7A"/>
    <w:rsid w:val="00F20864"/>
    <w:rsid w:val="00F26355"/>
    <w:rsid w:val="00F335DF"/>
    <w:rsid w:val="00F340E6"/>
    <w:rsid w:val="00F3738E"/>
    <w:rsid w:val="00F47324"/>
    <w:rsid w:val="00F523A0"/>
    <w:rsid w:val="00F61142"/>
    <w:rsid w:val="00F619F7"/>
    <w:rsid w:val="00F84CB9"/>
    <w:rsid w:val="00F86B2C"/>
    <w:rsid w:val="00F87620"/>
    <w:rsid w:val="00F90C7A"/>
    <w:rsid w:val="00F93000"/>
    <w:rsid w:val="00F96FD5"/>
    <w:rsid w:val="00FA5860"/>
    <w:rsid w:val="00FB0831"/>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5B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F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uiPriority w:val="99"/>
    <w:unhideWhenUsed/>
    <w:rsid w:val="00FF142A"/>
    <w:rPr>
      <w:color w:val="0000FF"/>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rPr>
      <w:sz w:val="20"/>
      <w:szCs w:val="20"/>
    </w:rPr>
  </w:style>
  <w:style w:type="character" w:customStyle="1" w:styleId="HeaderChar">
    <w:name w:val="Header Char"/>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rPr>
      <w:sz w:val="20"/>
      <w:szCs w:val="20"/>
    </w:rPr>
  </w:style>
  <w:style w:type="character" w:customStyle="1" w:styleId="FooterChar">
    <w:name w:val="Footer Char"/>
    <w:link w:val="Footer"/>
    <w:uiPriority w:val="99"/>
    <w:rsid w:val="006963D1"/>
    <w:rPr>
      <w:lang w:val="en-US"/>
    </w:rPr>
  </w:style>
  <w:style w:type="table" w:styleId="TableGrid">
    <w:name w:val="Table Grid"/>
    <w:basedOn w:val="TableNormal"/>
    <w:uiPriority w:val="59"/>
    <w:rsid w:val="00711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D42A58"/>
    <w:rPr>
      <w:rFonts w:ascii="Tahoma" w:hAnsi="Tahoma" w:cs="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 w:type="paragraph" w:customStyle="1" w:styleId="Level3">
    <w:name w:val="Level 3"/>
    <w:basedOn w:val="TOC3"/>
    <w:link w:val="Level3CharChar"/>
    <w:qFormat/>
    <w:rsid w:val="00E57310"/>
    <w:pPr>
      <w:tabs>
        <w:tab w:val="right" w:leader="dot" w:pos="8630"/>
      </w:tabs>
      <w:spacing w:after="0" w:line="240" w:lineRule="auto"/>
      <w:ind w:left="400"/>
    </w:pPr>
    <w:rPr>
      <w:rFonts w:ascii="Cambria" w:eastAsia="Times New Roman" w:hAnsi="Cambria"/>
      <w:i/>
      <w:iCs/>
      <w:sz w:val="20"/>
      <w:szCs w:val="20"/>
    </w:rPr>
  </w:style>
  <w:style w:type="character" w:customStyle="1" w:styleId="Level3CharChar">
    <w:name w:val="Level 3 Char Char"/>
    <w:basedOn w:val="DefaultParagraphFont"/>
    <w:link w:val="Level3"/>
    <w:rsid w:val="00E57310"/>
    <w:rPr>
      <w:rFonts w:ascii="Cambria" w:eastAsia="Times New Roman" w:hAnsi="Cambria"/>
      <w:i/>
      <w:iCs/>
      <w:lang w:val="en-US" w:eastAsia="en-US"/>
    </w:rPr>
  </w:style>
  <w:style w:type="paragraph" w:customStyle="1" w:styleId="Level1">
    <w:name w:val="Level 1"/>
    <w:basedOn w:val="TOC1"/>
    <w:link w:val="Level1Char"/>
    <w:qFormat/>
    <w:rsid w:val="00E57310"/>
    <w:pPr>
      <w:tabs>
        <w:tab w:val="right" w:leader="dot" w:pos="8630"/>
      </w:tabs>
      <w:spacing w:before="120" w:after="120" w:line="240" w:lineRule="auto"/>
    </w:pPr>
    <w:rPr>
      <w:rFonts w:ascii="Cambria" w:eastAsia="Times New Roman" w:hAnsi="Cambria"/>
      <w:b/>
      <w:bCs/>
      <w:caps/>
      <w:sz w:val="20"/>
      <w:szCs w:val="20"/>
    </w:rPr>
  </w:style>
  <w:style w:type="character" w:customStyle="1" w:styleId="Level1Char">
    <w:name w:val="Level 1 Char"/>
    <w:basedOn w:val="DefaultParagraphFont"/>
    <w:link w:val="Level1"/>
    <w:rsid w:val="00E57310"/>
    <w:rPr>
      <w:rFonts w:ascii="Cambria" w:eastAsia="Times New Roman" w:hAnsi="Cambria"/>
      <w:b/>
      <w:bCs/>
      <w:caps/>
      <w:lang w:val="en-US" w:eastAsia="en-US"/>
    </w:rPr>
  </w:style>
  <w:style w:type="paragraph" w:customStyle="1" w:styleId="Level2">
    <w:name w:val="Level 2"/>
    <w:basedOn w:val="TOC2"/>
    <w:link w:val="Level2Char"/>
    <w:qFormat/>
    <w:rsid w:val="00E57310"/>
    <w:pPr>
      <w:tabs>
        <w:tab w:val="right" w:leader="dot" w:pos="8630"/>
      </w:tabs>
      <w:spacing w:after="0" w:line="240" w:lineRule="auto"/>
      <w:ind w:left="200"/>
    </w:pPr>
    <w:rPr>
      <w:rFonts w:ascii="Cambria" w:eastAsia="Times New Roman" w:hAnsi="Cambria"/>
      <w:smallCaps/>
      <w:color w:val="000000"/>
      <w:sz w:val="20"/>
      <w:szCs w:val="20"/>
    </w:rPr>
  </w:style>
  <w:style w:type="character" w:customStyle="1" w:styleId="Level2Char">
    <w:name w:val="Level 2 Char"/>
    <w:basedOn w:val="DefaultParagraphFont"/>
    <w:link w:val="Level2"/>
    <w:rsid w:val="00E57310"/>
    <w:rPr>
      <w:rFonts w:ascii="Cambria" w:eastAsia="Times New Roman" w:hAnsi="Cambria"/>
      <w:smallCaps/>
      <w:color w:val="000000"/>
      <w:lang w:val="en-US" w:eastAsia="en-US"/>
    </w:rPr>
  </w:style>
  <w:style w:type="paragraph" w:styleId="TOC3">
    <w:name w:val="toc 3"/>
    <w:basedOn w:val="Normal"/>
    <w:next w:val="Normal"/>
    <w:autoRedefine/>
    <w:uiPriority w:val="39"/>
    <w:semiHidden/>
    <w:unhideWhenUsed/>
    <w:rsid w:val="00E57310"/>
    <w:pPr>
      <w:ind w:left="440"/>
    </w:pPr>
  </w:style>
  <w:style w:type="paragraph" w:styleId="TOC1">
    <w:name w:val="toc 1"/>
    <w:basedOn w:val="Normal"/>
    <w:next w:val="Normal"/>
    <w:autoRedefine/>
    <w:uiPriority w:val="39"/>
    <w:semiHidden/>
    <w:unhideWhenUsed/>
    <w:rsid w:val="00E57310"/>
  </w:style>
  <w:style w:type="paragraph" w:styleId="TOC2">
    <w:name w:val="toc 2"/>
    <w:basedOn w:val="Normal"/>
    <w:next w:val="Normal"/>
    <w:autoRedefine/>
    <w:uiPriority w:val="39"/>
    <w:semiHidden/>
    <w:unhideWhenUsed/>
    <w:rsid w:val="00E57310"/>
    <w:pPr>
      <w:ind w:left="220"/>
    </w:pPr>
  </w:style>
  <w:style w:type="paragraph" w:styleId="NormalWeb">
    <w:name w:val="Normal (Web)"/>
    <w:basedOn w:val="Normal"/>
    <w:uiPriority w:val="99"/>
    <w:unhideWhenUsed/>
    <w:rsid w:val="000D0058"/>
    <w:pPr>
      <w:spacing w:before="100" w:beforeAutospacing="1" w:after="100" w:afterAutospacing="1" w:line="240" w:lineRule="auto"/>
    </w:pPr>
    <w:rPr>
      <w:rFonts w:ascii="Times New Roman" w:eastAsia="Times New Roman" w:hAnsi="Times New Roman"/>
      <w:sz w:val="24"/>
      <w:szCs w:val="24"/>
      <w:lang w:val="en-ZA" w:eastAsia="en-ZA"/>
    </w:rPr>
  </w:style>
  <w:style w:type="character" w:styleId="Strong">
    <w:name w:val="Strong"/>
    <w:basedOn w:val="DefaultParagraphFont"/>
    <w:uiPriority w:val="22"/>
    <w:qFormat/>
    <w:rsid w:val="000D00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270909">
      <w:bodyDiv w:val="1"/>
      <w:marLeft w:val="0"/>
      <w:marRight w:val="0"/>
      <w:marTop w:val="0"/>
      <w:marBottom w:val="0"/>
      <w:divBdr>
        <w:top w:val="none" w:sz="0" w:space="0" w:color="auto"/>
        <w:left w:val="none" w:sz="0" w:space="0" w:color="auto"/>
        <w:bottom w:val="none" w:sz="0" w:space="0" w:color="auto"/>
        <w:right w:val="none" w:sz="0" w:space="0" w:color="auto"/>
      </w:divBdr>
    </w:div>
    <w:div w:id="620500338">
      <w:bodyDiv w:val="1"/>
      <w:marLeft w:val="0"/>
      <w:marRight w:val="0"/>
      <w:marTop w:val="0"/>
      <w:marBottom w:val="0"/>
      <w:divBdr>
        <w:top w:val="none" w:sz="0" w:space="0" w:color="auto"/>
        <w:left w:val="none" w:sz="0" w:space="0" w:color="auto"/>
        <w:bottom w:val="none" w:sz="0" w:space="0" w:color="auto"/>
        <w:right w:val="none" w:sz="0" w:space="0" w:color="auto"/>
      </w:divBdr>
    </w:div>
    <w:div w:id="701056065">
      <w:bodyDiv w:val="1"/>
      <w:marLeft w:val="0"/>
      <w:marRight w:val="0"/>
      <w:marTop w:val="0"/>
      <w:marBottom w:val="0"/>
      <w:divBdr>
        <w:top w:val="none" w:sz="0" w:space="0" w:color="auto"/>
        <w:left w:val="none" w:sz="0" w:space="0" w:color="auto"/>
        <w:bottom w:val="none" w:sz="0" w:space="0" w:color="auto"/>
        <w:right w:val="none" w:sz="0" w:space="0" w:color="auto"/>
      </w:divBdr>
    </w:div>
    <w:div w:id="728580200">
      <w:bodyDiv w:val="1"/>
      <w:marLeft w:val="0"/>
      <w:marRight w:val="0"/>
      <w:marTop w:val="0"/>
      <w:marBottom w:val="0"/>
      <w:divBdr>
        <w:top w:val="none" w:sz="0" w:space="0" w:color="auto"/>
        <w:left w:val="none" w:sz="0" w:space="0" w:color="auto"/>
        <w:bottom w:val="none" w:sz="0" w:space="0" w:color="auto"/>
        <w:right w:val="none" w:sz="0" w:space="0" w:color="auto"/>
      </w:divBdr>
      <w:divsChild>
        <w:div w:id="899172775">
          <w:marLeft w:val="0"/>
          <w:marRight w:val="0"/>
          <w:marTop w:val="0"/>
          <w:marBottom w:val="0"/>
          <w:divBdr>
            <w:top w:val="none" w:sz="0" w:space="0" w:color="auto"/>
            <w:left w:val="none" w:sz="0" w:space="0" w:color="auto"/>
            <w:bottom w:val="none" w:sz="0" w:space="0" w:color="auto"/>
            <w:right w:val="none" w:sz="0" w:space="0" w:color="auto"/>
          </w:divBdr>
        </w:div>
      </w:divsChild>
    </w:div>
    <w:div w:id="1350909685">
      <w:bodyDiv w:val="1"/>
      <w:marLeft w:val="0"/>
      <w:marRight w:val="0"/>
      <w:marTop w:val="0"/>
      <w:marBottom w:val="0"/>
      <w:divBdr>
        <w:top w:val="none" w:sz="0" w:space="0" w:color="auto"/>
        <w:left w:val="none" w:sz="0" w:space="0" w:color="auto"/>
        <w:bottom w:val="none" w:sz="0" w:space="0" w:color="auto"/>
        <w:right w:val="none" w:sz="0" w:space="0" w:color="auto"/>
      </w:divBdr>
    </w:div>
    <w:div w:id="1398823056">
      <w:bodyDiv w:val="1"/>
      <w:marLeft w:val="0"/>
      <w:marRight w:val="0"/>
      <w:marTop w:val="0"/>
      <w:marBottom w:val="0"/>
      <w:divBdr>
        <w:top w:val="none" w:sz="0" w:space="0" w:color="auto"/>
        <w:left w:val="none" w:sz="0" w:space="0" w:color="auto"/>
        <w:bottom w:val="none" w:sz="0" w:space="0" w:color="auto"/>
        <w:right w:val="none" w:sz="0" w:space="0" w:color="auto"/>
      </w:divBdr>
    </w:div>
    <w:div w:id="163494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2</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3</b:RefOrder>
  </b:Source>
  <b:Source>
    <b:Tag>Ang18</b:Tag>
    <b:SourceType>DocumentFromInternetSite</b:SourceType>
    <b:Guid>{AD1AFFB0-513B-4E02-9037-56DC7AC5CB9F}</b:Guid>
    <b:Author>
      <b:Author>
        <b:NameList>
          <b:Person>
            <b:Last>Woo</b:Last>
            <b:First>Angela</b:First>
          </b:Person>
        </b:NameList>
      </b:Author>
    </b:Author>
    <b:Title>Understanding The Research On Millennial Shopping Behaviors</b:Title>
    <b:Year>2018</b:Year>
    <b:Month>Oct</b:Month>
    <b:Day>04</b:Day>
    <b:InternetSiteTitle>Forbes</b:InternetSiteTitle>
    <b:YearAccessed>2019</b:YearAccessed>
    <b:MonthAccessed>03</b:MonthAccessed>
    <b:DayAccessed>28</b:DayAccessed>
    <b:URL>https://www.forbes.com/sites/forbesagencycouncil/2018/06/04/understanding-the-research-on-millennial-shopping-behaviors/#12b1020a5f7a</b:URL>
    <b:RefOrder>4</b:RefOrder>
  </b:Source>
  <b:Source>
    <b:Tag>Reb19</b:Tag>
    <b:SourceType>DocumentFromInternetSite</b:SourceType>
    <b:Guid>{99DDD7E0-9EF9-4472-998C-52C35A1464FD}</b:Guid>
    <b:Author>
      <b:Author>
        <b:NameList>
          <b:Person>
            <b:Last>Fannin</b:Last>
            <b:First>Rebecca</b:First>
          </b:Person>
        </b:NameList>
      </b:Author>
    </b:Author>
    <b:Title>The Strategy Behind TikTok’s Global Rise</b:Title>
    <b:InternetSiteTitle>Global Strategy </b:InternetSiteTitle>
    <b:Year>2019</b:Year>
    <b:Month>September </b:Month>
    <b:Day>13</b:Day>
    <b:YearAccessed>2019</b:YearAccessed>
    <b:MonthAccessed>September</b:MonthAccessed>
    <b:DayAccessed>20</b:DayAccessed>
    <b:URL>https://hbr.org/2019/09/the-strategy-behind-tiktoks-global-rise</b:URL>
    <b:RefOrder>5</b:RefOrder>
  </b:Source>
</b:Sources>
</file>

<file path=customXml/itemProps1.xml><?xml version="1.0" encoding="utf-8"?>
<ds:datastoreItem xmlns:ds="http://schemas.openxmlformats.org/officeDocument/2006/customXml" ds:itemID="{DB4165D2-9504-46B2-A3F8-7427F0EAE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2020-03-01T10:58:00Z</dcterms:created>
  <dcterms:modified xsi:type="dcterms:W3CDTF">2020-03-01T10:58:00Z</dcterms:modified>
</cp:coreProperties>
</file>